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D6" w:rsidRDefault="001C0BD6" w:rsidP="001C0BD6">
      <w:pPr>
        <w:pStyle w:val="Encabezado"/>
        <w:jc w:val="center"/>
        <w:rPr>
          <w:sz w:val="24"/>
          <w:szCs w:val="24"/>
        </w:rPr>
      </w:pPr>
      <w:bookmarkStart w:id="0" w:name="_Hlk75363146"/>
      <w:r w:rsidRPr="00613D6B">
        <w:rPr>
          <w:sz w:val="24"/>
          <w:szCs w:val="24"/>
        </w:rPr>
        <w:t xml:space="preserve">Aplicación de una 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 w:rsidR="006B6525">
        <w:rPr>
          <w:sz w:val="24"/>
          <w:szCs w:val="24"/>
        </w:rPr>
        <w:t xml:space="preserve"> Curso 202_/2_</w:t>
      </w:r>
      <w:bookmarkStart w:id="1" w:name="_GoBack"/>
      <w:bookmarkEnd w:id="1"/>
    </w:p>
    <w:p w:rsidR="001C0BD6" w:rsidRPr="00613D6B" w:rsidRDefault="001C0BD6" w:rsidP="001C0BD6">
      <w:pPr>
        <w:pStyle w:val="Encabezado"/>
        <w:jc w:val="right"/>
        <w:rPr>
          <w:sz w:val="20"/>
          <w:szCs w:val="20"/>
        </w:rPr>
      </w:pPr>
      <w:r>
        <w:rPr>
          <w:sz w:val="20"/>
          <w:szCs w:val="20"/>
        </w:rPr>
        <w:t>Versión 17/12/2021</w:t>
      </w:r>
    </w:p>
    <w:p w:rsidR="001C0BD6" w:rsidRDefault="001C0BD6" w:rsidP="001C0BD6"/>
    <w:p w:rsidR="001C0BD6" w:rsidRPr="00D16C31" w:rsidRDefault="001C0BD6" w:rsidP="001C0BD6">
      <w:pPr>
        <w:pStyle w:val="Ttulo1"/>
        <w:ind w:left="360"/>
        <w:rPr>
          <w:sz w:val="22"/>
          <w:szCs w:val="22"/>
        </w:rPr>
      </w:pPr>
      <w:r w:rsidRPr="00705E0E">
        <w:rPr>
          <w:b/>
          <w:bCs/>
        </w:rPr>
        <w:t>AXXX …</w:t>
      </w:r>
      <w:r>
        <w:rPr>
          <w:b/>
          <w:bCs/>
        </w:rPr>
        <w:t xml:space="preserve">                          </w:t>
      </w:r>
      <w:r>
        <w:rPr>
          <w:sz w:val="22"/>
          <w:szCs w:val="22"/>
        </w:rPr>
        <w:t>(Código y nombre de la Actividad palanca)</w:t>
      </w:r>
    </w:p>
    <w:p w:rsidR="001C0BD6" w:rsidRPr="003A6B72" w:rsidRDefault="001C0BD6" w:rsidP="001C0BD6"/>
    <w:tbl>
      <w:tblPr>
        <w:tblW w:w="9781" w:type="dxa"/>
        <w:tblInd w:w="-5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524"/>
        <w:gridCol w:w="719"/>
        <w:gridCol w:w="3979"/>
        <w:gridCol w:w="1559"/>
      </w:tblGrid>
      <w:tr w:rsidR="001C0BD6" w:rsidRPr="00A56EBE" w:rsidTr="001C0BD6">
        <w:tc>
          <w:tcPr>
            <w:tcW w:w="8222" w:type="dxa"/>
            <w:gridSpan w:val="3"/>
            <w:shd w:val="clear" w:color="auto" w:fill="A8D08D" w:themeFill="accent6" w:themeFillTint="99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A56EBE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Centro:                                                                  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A56EBE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Curso:</w:t>
            </w:r>
          </w:p>
        </w:tc>
      </w:tr>
      <w:tr w:rsidR="001C0BD6" w:rsidRPr="00A56EBE" w:rsidTr="001C0BD6">
        <w:tc>
          <w:tcPr>
            <w:tcW w:w="9781" w:type="dxa"/>
            <w:gridSpan w:val="4"/>
            <w:shd w:val="clear" w:color="auto" w:fill="E2EFD9" w:themeFill="accent6" w:themeFillTint="33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A56EBE">
              <w:rPr>
                <w:rFonts w:asciiTheme="majorHAnsi" w:hAnsiTheme="majorHAnsi" w:cstheme="majorHAnsi"/>
                <w:b/>
                <w:color w:val="1F4E79" w:themeColor="accent1" w:themeShade="80"/>
              </w:rPr>
              <w:t xml:space="preserve">Objetivo estratégico de centro que persigue </w:t>
            </w:r>
            <w:r w:rsidRPr="00A56EBE">
              <w:rPr>
                <w:rFonts w:asciiTheme="majorHAnsi" w:hAnsiTheme="majorHAnsi" w:cstheme="majorHAnsi"/>
                <w:bCs/>
                <w:color w:val="1F4E79" w:themeColor="accent1" w:themeShade="80"/>
                <w:sz w:val="18"/>
                <w:szCs w:val="18"/>
              </w:rPr>
              <w:t>(coherente con 5.2.2 y/o 7.1 PEM)</w:t>
            </w:r>
            <w:r w:rsidRPr="00A56EBE">
              <w:rPr>
                <w:rFonts w:asciiTheme="majorHAnsi" w:hAnsiTheme="majorHAnsi" w:cstheme="majorHAnsi"/>
                <w:bCs/>
                <w:color w:val="1F4E79" w:themeColor="accent1" w:themeShade="80"/>
              </w:rPr>
              <w:t>:</w:t>
            </w:r>
          </w:p>
        </w:tc>
      </w:tr>
      <w:tr w:rsidR="001C0BD6" w:rsidRPr="00A56EBE" w:rsidTr="001C0BD6">
        <w:tc>
          <w:tcPr>
            <w:tcW w:w="9781" w:type="dxa"/>
            <w:gridSpan w:val="4"/>
            <w:shd w:val="clear" w:color="auto" w:fill="auto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</w:tr>
      <w:tr w:rsidR="001C0BD6" w:rsidRPr="00A56EBE" w:rsidTr="001C0BD6">
        <w:tc>
          <w:tcPr>
            <w:tcW w:w="9781" w:type="dxa"/>
            <w:gridSpan w:val="4"/>
            <w:shd w:val="clear" w:color="auto" w:fill="A8D08D" w:themeFill="accent6" w:themeFillTint="99"/>
          </w:tcPr>
          <w:p w:rsidR="001C0BD6" w:rsidRPr="00A56EBE" w:rsidRDefault="001C0BD6" w:rsidP="00864AA0">
            <w:pPr>
              <w:ind w:left="720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A56EBE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ALINEACIÓN CON PROA+</w:t>
            </w:r>
          </w:p>
        </w:tc>
      </w:tr>
      <w:tr w:rsidR="001C0BD6" w:rsidRPr="00A56EBE" w:rsidTr="001C0BD6">
        <w:tc>
          <w:tcPr>
            <w:tcW w:w="9781" w:type="dxa"/>
            <w:gridSpan w:val="4"/>
            <w:shd w:val="clear" w:color="auto" w:fill="E2EFD9" w:themeFill="accent6" w:themeFillTint="33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A56EBE">
              <w:rPr>
                <w:rFonts w:asciiTheme="majorHAnsi" w:hAnsiTheme="majorHAnsi" w:cstheme="majorHAnsi"/>
                <w:b/>
                <w:color w:val="1F4E79" w:themeColor="accent1" w:themeShade="80"/>
              </w:rPr>
              <w:t xml:space="preserve">Objetivo PROA+ que favorece </w:t>
            </w:r>
            <w:r w:rsidRPr="00A56EBE">
              <w:rPr>
                <w:rFonts w:asciiTheme="majorHAnsi" w:hAnsiTheme="majorHAnsi" w:cstheme="majorHAnsi"/>
                <w:bCs/>
                <w:color w:val="1F4E79" w:themeColor="accent1" w:themeShade="80"/>
                <w:sz w:val="18"/>
                <w:szCs w:val="18"/>
              </w:rPr>
              <w:t>(coherente con 6.2 PEM)</w:t>
            </w:r>
          </w:p>
        </w:tc>
      </w:tr>
      <w:tr w:rsidR="001C0BD6" w:rsidRPr="00A56EBE" w:rsidTr="001C0BD6">
        <w:tc>
          <w:tcPr>
            <w:tcW w:w="9781" w:type="dxa"/>
            <w:gridSpan w:val="4"/>
            <w:shd w:val="clear" w:color="auto" w:fill="auto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</w:tr>
      <w:tr w:rsidR="001C0BD6" w:rsidRPr="00A56EBE" w:rsidTr="001C0BD6">
        <w:tc>
          <w:tcPr>
            <w:tcW w:w="9781" w:type="dxa"/>
            <w:gridSpan w:val="4"/>
            <w:shd w:val="clear" w:color="auto" w:fill="E2EFD9" w:themeFill="accent6" w:themeFillTint="33"/>
          </w:tcPr>
          <w:p w:rsidR="001C0BD6" w:rsidRPr="00A56EBE" w:rsidRDefault="001C0BD6" w:rsidP="001C0BD6">
            <w:pPr>
              <w:ind w:right="30"/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A56EBE">
              <w:rPr>
                <w:rFonts w:asciiTheme="majorHAnsi" w:hAnsiTheme="majorHAnsi" w:cstheme="majorHAnsi"/>
                <w:b/>
                <w:color w:val="1F4E79" w:themeColor="accent1" w:themeShade="80"/>
              </w:rPr>
              <w:t xml:space="preserve">Estrategia PROA+ que impulsa </w:t>
            </w:r>
            <w:r w:rsidRPr="00A56EBE">
              <w:rPr>
                <w:rFonts w:asciiTheme="majorHAnsi" w:hAnsiTheme="majorHAnsi" w:cstheme="majorHAnsi"/>
                <w:bCs/>
                <w:color w:val="1F4E79" w:themeColor="accent1" w:themeShade="80"/>
                <w:sz w:val="18"/>
                <w:szCs w:val="18"/>
              </w:rPr>
              <w:t>(coherente con 6.2 PEM)</w:t>
            </w:r>
          </w:p>
        </w:tc>
      </w:tr>
      <w:tr w:rsidR="001C0BD6" w:rsidRPr="00A56EBE" w:rsidTr="001C0BD6">
        <w:tc>
          <w:tcPr>
            <w:tcW w:w="9781" w:type="dxa"/>
            <w:gridSpan w:val="4"/>
            <w:shd w:val="clear" w:color="auto" w:fill="auto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</w:tr>
      <w:tr w:rsidR="001C0BD6" w:rsidRPr="00A56EBE" w:rsidTr="001C0BD6">
        <w:trPr>
          <w:trHeight w:val="323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A56EBE">
              <w:rPr>
                <w:rFonts w:asciiTheme="majorHAnsi" w:hAnsiTheme="majorHAnsi" w:cstheme="majorHAnsi"/>
                <w:b/>
                <w:color w:val="1F4E79" w:themeColor="accent1" w:themeShade="80"/>
              </w:rPr>
              <w:t>Requisitos PROA+ que cumple y justificación</w:t>
            </w:r>
          </w:p>
        </w:tc>
      </w:tr>
      <w:tr w:rsidR="001C0BD6" w:rsidRPr="00A56EBE" w:rsidTr="001C0BD6">
        <w:trPr>
          <w:trHeight w:val="323"/>
        </w:trPr>
        <w:tc>
          <w:tcPr>
            <w:tcW w:w="3524" w:type="dxa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Requisitos</w:t>
            </w:r>
          </w:p>
        </w:tc>
        <w:tc>
          <w:tcPr>
            <w:tcW w:w="719" w:type="dxa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Grado</w:t>
            </w:r>
          </w:p>
        </w:tc>
        <w:tc>
          <w:tcPr>
            <w:tcW w:w="5538" w:type="dxa"/>
            <w:gridSpan w:val="2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Explicar</w:t>
            </w:r>
          </w:p>
        </w:tc>
      </w:tr>
      <w:tr w:rsidR="001C0BD6" w:rsidRPr="00A56EBE" w:rsidTr="001C0BD6">
        <w:trPr>
          <w:trHeight w:val="323"/>
        </w:trPr>
        <w:tc>
          <w:tcPr>
            <w:tcW w:w="3524" w:type="dxa"/>
          </w:tcPr>
          <w:p w:rsidR="001C0BD6" w:rsidRPr="00A56EBE" w:rsidRDefault="001C0BD6" w:rsidP="00864AA0">
            <w:pPr>
              <w:jc w:val="right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Equidad, igualdad equitativa de oportunidades</w:t>
            </w:r>
          </w:p>
        </w:tc>
        <w:tc>
          <w:tcPr>
            <w:tcW w:w="719" w:type="dxa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(Cómo ayuda al alumnado vulnerable)</w:t>
            </w:r>
          </w:p>
        </w:tc>
      </w:tr>
      <w:tr w:rsidR="001C0BD6" w:rsidRPr="00A56EBE" w:rsidTr="001C0BD6">
        <w:trPr>
          <w:trHeight w:val="323"/>
        </w:trPr>
        <w:tc>
          <w:tcPr>
            <w:tcW w:w="3524" w:type="dxa"/>
          </w:tcPr>
          <w:p w:rsidR="001C0BD6" w:rsidRPr="00A56EBE" w:rsidRDefault="001C0BD6" w:rsidP="00864AA0">
            <w:pPr>
              <w:jc w:val="right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Educación inclusiva, todos aprenden juntos y se atiende la diversidad de necesidades</w:t>
            </w:r>
          </w:p>
        </w:tc>
        <w:tc>
          <w:tcPr>
            <w:tcW w:w="719" w:type="dxa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Adjuntar cuestionario y concretar el Marco estratégico de la propuesta </w:t>
            </w:r>
            <w:hyperlink r:id="rId6">
              <w:proofErr w:type="spellStart"/>
              <w:r w:rsidRPr="00A56EBE">
                <w:rPr>
                  <w:rFonts w:asciiTheme="majorHAnsi" w:hAnsiTheme="majorHAnsi" w:cstheme="majorHAnsi"/>
                  <w:color w:val="1F4E79" w:themeColor="accent1" w:themeShade="80"/>
                  <w:sz w:val="16"/>
                  <w:szCs w:val="16"/>
                  <w:u w:val="single"/>
                </w:rPr>
                <w:t>Booth</w:t>
              </w:r>
              <w:proofErr w:type="spellEnd"/>
              <w:r w:rsidRPr="00A56EBE">
                <w:rPr>
                  <w:rFonts w:asciiTheme="majorHAnsi" w:hAnsiTheme="majorHAnsi" w:cstheme="majorHAnsi"/>
                  <w:color w:val="1F4E79" w:themeColor="accent1" w:themeShade="80"/>
                  <w:sz w:val="16"/>
                  <w:szCs w:val="16"/>
                  <w:u w:val="single"/>
                </w:rPr>
                <w:t xml:space="preserve">, T. and </w:t>
              </w:r>
              <w:proofErr w:type="spellStart"/>
              <w:r w:rsidRPr="00A56EBE">
                <w:rPr>
                  <w:rFonts w:asciiTheme="majorHAnsi" w:hAnsiTheme="majorHAnsi" w:cstheme="majorHAnsi"/>
                  <w:color w:val="1F4E79" w:themeColor="accent1" w:themeShade="80"/>
                  <w:sz w:val="16"/>
                  <w:szCs w:val="16"/>
                  <w:u w:val="single"/>
                </w:rPr>
                <w:t>Ainscow</w:t>
              </w:r>
              <w:proofErr w:type="spellEnd"/>
              <w:r w:rsidRPr="00A56EBE">
                <w:rPr>
                  <w:rFonts w:asciiTheme="majorHAnsi" w:hAnsiTheme="majorHAnsi" w:cstheme="majorHAnsi"/>
                  <w:color w:val="1F4E79" w:themeColor="accent1" w:themeShade="80"/>
                  <w:sz w:val="16"/>
                  <w:szCs w:val="16"/>
                  <w:u w:val="single"/>
                </w:rPr>
                <w:t>, M. (2011:179-182).</w:t>
              </w:r>
            </w:hyperlink>
            <w:hyperlink r:id="rId7">
              <w:r w:rsidRPr="00A56EBE">
                <w:rPr>
                  <w:rFonts w:asciiTheme="majorHAnsi" w:hAnsiTheme="majorHAnsi" w:cstheme="majorHAnsi"/>
                  <w:color w:val="1F4E79" w:themeColor="accent1" w:themeShade="80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</w:tr>
      <w:tr w:rsidR="001C0BD6" w:rsidRPr="00A56EBE" w:rsidTr="001C0BD6">
        <w:trPr>
          <w:trHeight w:val="323"/>
        </w:trPr>
        <w:tc>
          <w:tcPr>
            <w:tcW w:w="3524" w:type="dxa"/>
          </w:tcPr>
          <w:p w:rsidR="001C0BD6" w:rsidRPr="00A56EBE" w:rsidRDefault="001C0BD6" w:rsidP="00864AA0">
            <w:pPr>
              <w:jc w:val="right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Expectativas positivas, todos pueden</w:t>
            </w:r>
          </w:p>
        </w:tc>
        <w:tc>
          <w:tcPr>
            <w:tcW w:w="719" w:type="dxa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(% de alumnado que adquirirá los aprendizajes imprescindibles)</w:t>
            </w:r>
          </w:p>
        </w:tc>
      </w:tr>
      <w:tr w:rsidR="001C0BD6" w:rsidRPr="00A56EBE" w:rsidTr="001C0BD6">
        <w:trPr>
          <w:trHeight w:val="323"/>
        </w:trPr>
        <w:tc>
          <w:tcPr>
            <w:tcW w:w="3524" w:type="dxa"/>
          </w:tcPr>
          <w:p w:rsidR="001C0BD6" w:rsidRPr="00A56EBE" w:rsidRDefault="001C0BD6" w:rsidP="00864AA0">
            <w:pPr>
              <w:jc w:val="right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Prevención y detección de las dificultades de aprendizaje, mecanismos de refuerzo, apoyo y acompañamiento</w:t>
            </w:r>
          </w:p>
        </w:tc>
        <w:tc>
          <w:tcPr>
            <w:tcW w:w="719" w:type="dxa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(previsión de dificultades y cómo salvarlas)</w:t>
            </w:r>
          </w:p>
        </w:tc>
      </w:tr>
      <w:tr w:rsidR="001C0BD6" w:rsidRPr="00A56EBE" w:rsidTr="001C0BD6">
        <w:trPr>
          <w:trHeight w:val="323"/>
        </w:trPr>
        <w:tc>
          <w:tcPr>
            <w:tcW w:w="3524" w:type="dxa"/>
          </w:tcPr>
          <w:p w:rsidR="001C0BD6" w:rsidRPr="00A56EBE" w:rsidRDefault="001C0BD6" w:rsidP="00864AA0">
            <w:pPr>
              <w:jc w:val="right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Educación no cognitiva, habilidades socio emocionales</w:t>
            </w:r>
          </w:p>
        </w:tc>
        <w:tc>
          <w:tcPr>
            <w:tcW w:w="719" w:type="dxa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5538" w:type="dxa"/>
            <w:gridSpan w:val="2"/>
          </w:tcPr>
          <w:p w:rsidR="001C0BD6" w:rsidRPr="00A56EBE" w:rsidRDefault="001C0BD6" w:rsidP="00864AA0">
            <w:pP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56EBE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Concretar habilidades que se desarrollan / Trabajan: </w:t>
            </w:r>
          </w:p>
        </w:tc>
      </w:tr>
    </w:tbl>
    <w:p w:rsidR="001C0BD6" w:rsidRPr="00A56EBE" w:rsidRDefault="001C0BD6" w:rsidP="001C0BD6">
      <w:pPr>
        <w:rPr>
          <w:rFonts w:asciiTheme="majorHAnsi" w:hAnsiTheme="majorHAnsi" w:cstheme="majorHAnsi"/>
          <w:color w:val="1F4E79" w:themeColor="accent1" w:themeShade="80"/>
        </w:rPr>
      </w:pPr>
      <w:r w:rsidRPr="00A56EBE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Grados de cumplimiento: Total (T), Mayoritario (M), Parcial (P), Nulo (N).</w:t>
      </w:r>
    </w:p>
    <w:p w:rsidR="001C0BD6" w:rsidRPr="00A56EBE" w:rsidRDefault="001C0BD6" w:rsidP="001C0BD6">
      <w:pPr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A56EBE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 xml:space="preserve">Observaciones: </w:t>
      </w:r>
    </w:p>
    <w:p w:rsidR="001C0BD6" w:rsidRPr="00A56EBE" w:rsidRDefault="001C0BD6" w:rsidP="001C0BD6">
      <w:pPr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A56EBE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El centro tiene como referencia para desarrollar la Actividad palanca el diseño realizado por el MEFP y CCAA para las actividades del catálogo, y va cumplimentando la plantilla en el momento que va diseñando, aplicando y evaluando, de tal forma que esté integrada en el funcionamiento ordinario del centro y no represente un esfuerzo adicional.</w:t>
      </w:r>
    </w:p>
    <w:p w:rsidR="001C0BD6" w:rsidRPr="00723D0B" w:rsidRDefault="001C0BD6" w:rsidP="001C0BD6">
      <w:pPr>
        <w:rPr>
          <w:rFonts w:asciiTheme="majorHAnsi" w:hAnsiTheme="majorHAnsi" w:cstheme="majorHAnsi"/>
          <w:color w:val="1F3863"/>
          <w:sz w:val="24"/>
          <w:szCs w:val="24"/>
        </w:rPr>
      </w:pPr>
    </w:p>
    <w:p w:rsidR="001C0BD6" w:rsidRDefault="001C0BD6" w:rsidP="001C0BD6">
      <w:pPr>
        <w:rPr>
          <w:rFonts w:asciiTheme="majorHAnsi" w:hAnsiTheme="majorHAnsi" w:cstheme="majorHAnsi"/>
          <w:color w:val="1F3863"/>
          <w:sz w:val="24"/>
          <w:szCs w:val="24"/>
        </w:rPr>
      </w:pPr>
      <w:r>
        <w:rPr>
          <w:rFonts w:asciiTheme="majorHAnsi" w:hAnsiTheme="majorHAnsi" w:cstheme="majorHAnsi"/>
          <w:color w:val="1F3863"/>
          <w:sz w:val="24"/>
          <w:szCs w:val="24"/>
        </w:rPr>
        <w:br w:type="page"/>
      </w:r>
    </w:p>
    <w:p w:rsidR="001C0BD6" w:rsidRPr="00723D0B" w:rsidRDefault="001C0BD6" w:rsidP="001C0BD6">
      <w:pPr>
        <w:rPr>
          <w:rFonts w:asciiTheme="majorHAnsi" w:hAnsiTheme="majorHAnsi" w:cstheme="majorHAnsi"/>
          <w:color w:val="1F3863"/>
          <w:sz w:val="24"/>
          <w:szCs w:val="24"/>
        </w:rPr>
      </w:pPr>
    </w:p>
    <w:tbl>
      <w:tblPr>
        <w:tblW w:w="10348" w:type="dxa"/>
        <w:tblInd w:w="-856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2704"/>
        <w:gridCol w:w="6368"/>
        <w:gridCol w:w="426"/>
        <w:gridCol w:w="425"/>
        <w:gridCol w:w="425"/>
      </w:tblGrid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Actividad palanca </w:t>
            </w:r>
          </w:p>
        </w:tc>
        <w:tc>
          <w:tcPr>
            <w:tcW w:w="7644" w:type="dxa"/>
            <w:gridSpan w:val="4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ind w:left="1080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APLICACIÓN DE LA ACTIVIDAD PALANCA</w:t>
            </w: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Breve descripción 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Finalidad de la actividad / acción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(efectos que se persiguen) </w:t>
            </w:r>
          </w:p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566"/>
        </w:trPr>
        <w:tc>
          <w:tcPr>
            <w:tcW w:w="2704" w:type="dxa"/>
            <w:vMerge w:val="restart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OBJETIVOS</w:t>
            </w:r>
          </w:p>
          <w:p w:rsidR="001C0BD6" w:rsidRPr="00DD50E1" w:rsidRDefault="001C0BD6" w:rsidP="00864AA0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color w:val="1F4E79" w:themeColor="accent1" w:themeShade="80"/>
              </w:rPr>
              <w:t xml:space="preserve">Mínimos </w:t>
            </w:r>
          </w:p>
        </w:tc>
      </w:tr>
      <w:tr w:rsidR="001C0BD6" w:rsidRPr="00DD50E1" w:rsidTr="001C0BD6">
        <w:trPr>
          <w:trHeight w:val="566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color w:val="1F4E79" w:themeColor="accent1" w:themeShade="80"/>
              </w:rPr>
              <w:t>Óptimos</w:t>
            </w:r>
          </w:p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108"/>
        </w:trPr>
        <w:tc>
          <w:tcPr>
            <w:tcW w:w="270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4"/>
                <w:szCs w:val="4"/>
              </w:rPr>
            </w:pP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4"/>
                <w:szCs w:val="4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Responsable 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Profesorado y otros profesionales que participan 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tbl>
            <w:tblPr>
              <w:tblStyle w:val="Tablaconcuadrcula"/>
              <w:tblW w:w="6940" w:type="dxa"/>
              <w:tblBorders>
                <w:top w:val="single" w:sz="4" w:space="0" w:color="ACB9CA" w:themeColor="text2" w:themeTint="66"/>
                <w:left w:val="single" w:sz="4" w:space="0" w:color="ACB9CA" w:themeColor="text2" w:themeTint="66"/>
                <w:bottom w:val="single" w:sz="4" w:space="0" w:color="ACB9CA" w:themeColor="text2" w:themeTint="66"/>
                <w:right w:val="single" w:sz="4" w:space="0" w:color="ACB9CA" w:themeColor="text2" w:themeTint="66"/>
                <w:insideH w:val="single" w:sz="4" w:space="0" w:color="ACB9CA" w:themeColor="text2" w:themeTint="66"/>
                <w:insideV w:val="single" w:sz="4" w:space="0" w:color="ACB9CA" w:themeColor="text2" w:themeTint="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83"/>
              <w:gridCol w:w="142"/>
              <w:gridCol w:w="142"/>
              <w:gridCol w:w="141"/>
              <w:gridCol w:w="142"/>
              <w:gridCol w:w="284"/>
              <w:gridCol w:w="283"/>
              <w:gridCol w:w="17"/>
              <w:gridCol w:w="267"/>
              <w:gridCol w:w="141"/>
              <w:gridCol w:w="284"/>
              <w:gridCol w:w="283"/>
              <w:gridCol w:w="284"/>
              <w:gridCol w:w="709"/>
              <w:gridCol w:w="264"/>
              <w:gridCol w:w="19"/>
              <w:gridCol w:w="217"/>
              <w:gridCol w:w="67"/>
              <w:gridCol w:w="283"/>
              <w:gridCol w:w="709"/>
              <w:gridCol w:w="992"/>
              <w:gridCol w:w="142"/>
              <w:gridCol w:w="244"/>
              <w:gridCol w:w="75"/>
            </w:tblGrid>
            <w:tr w:rsidR="001C0BD6" w:rsidRPr="00DD50E1" w:rsidTr="00864AA0">
              <w:trPr>
                <w:gridAfter w:val="1"/>
                <w:wAfter w:w="75" w:type="dxa"/>
              </w:trPr>
              <w:tc>
                <w:tcPr>
                  <w:tcW w:w="1234" w:type="dxa"/>
                  <w:gridSpan w:val="5"/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b/>
                      <w:bCs/>
                      <w:color w:val="1F4E79" w:themeColor="accent1" w:themeShade="80"/>
                      <w:sz w:val="18"/>
                      <w:szCs w:val="18"/>
                    </w:rPr>
                    <w:t>Del centro</w:t>
                  </w:r>
                </w:p>
              </w:tc>
              <w:tc>
                <w:tcPr>
                  <w:tcW w:w="1134" w:type="dxa"/>
                  <w:gridSpan w:val="6"/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Profesorado</w:t>
                  </w:r>
                </w:p>
              </w:tc>
              <w:tc>
                <w:tcPr>
                  <w:tcW w:w="284" w:type="dxa"/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3"/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Orientadores</w:t>
                  </w:r>
                </w:p>
              </w:tc>
              <w:tc>
                <w:tcPr>
                  <w:tcW w:w="283" w:type="dxa"/>
                  <w:gridSpan w:val="2"/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5"/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TIS/Educador social…</w:t>
                  </w:r>
                </w:p>
              </w:tc>
              <w:tc>
                <w:tcPr>
                  <w:tcW w:w="386" w:type="dxa"/>
                  <w:gridSpan w:val="2"/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rPr>
                <w:gridAfter w:val="1"/>
                <w:wAfter w:w="75" w:type="dxa"/>
              </w:trPr>
              <w:tc>
                <w:tcPr>
                  <w:tcW w:w="526" w:type="dxa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PAS</w:t>
                  </w:r>
                </w:p>
              </w:tc>
              <w:tc>
                <w:tcPr>
                  <w:tcW w:w="283" w:type="dxa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5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Familias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7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5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gridSpan w:val="2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c>
                <w:tcPr>
                  <w:tcW w:w="951" w:type="dxa"/>
                  <w:gridSpan w:val="3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b/>
                      <w:bCs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b/>
                      <w:bCs/>
                      <w:color w:val="1F4E79" w:themeColor="accent1" w:themeShade="80"/>
                      <w:sz w:val="18"/>
                      <w:szCs w:val="18"/>
                    </w:rPr>
                    <w:t>Externos</w:t>
                  </w:r>
                </w:p>
              </w:tc>
              <w:tc>
                <w:tcPr>
                  <w:tcW w:w="1009" w:type="dxa"/>
                  <w:gridSpan w:val="6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Asesores</w:t>
                  </w:r>
                </w:p>
              </w:tc>
              <w:tc>
                <w:tcPr>
                  <w:tcW w:w="267" w:type="dxa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965" w:type="dxa"/>
                  <w:gridSpan w:val="6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TIS/Trabajador social…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059" w:type="dxa"/>
                  <w:gridSpan w:val="3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psicólogos</w:t>
                  </w:r>
                </w:p>
              </w:tc>
              <w:tc>
                <w:tcPr>
                  <w:tcW w:w="1453" w:type="dxa"/>
                  <w:gridSpan w:val="4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rPr>
                <w:gridAfter w:val="1"/>
                <w:wAfter w:w="75" w:type="dxa"/>
              </w:trPr>
              <w:tc>
                <w:tcPr>
                  <w:tcW w:w="1093" w:type="dxa"/>
                  <w:gridSpan w:val="4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Monitores</w:t>
                  </w:r>
                </w:p>
              </w:tc>
              <w:tc>
                <w:tcPr>
                  <w:tcW w:w="283" w:type="dxa"/>
                  <w:gridSpan w:val="2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7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Antiguos alumnos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5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</w:tbl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</w:t>
            </w: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Diagnosis de competencias y necesidades de formación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Del profesorado y previsión de formación</w:t>
            </w: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Alumnado implicado 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Número de alumnado implicado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980"/>
              <w:gridCol w:w="981"/>
              <w:gridCol w:w="981"/>
              <w:gridCol w:w="981"/>
              <w:gridCol w:w="981"/>
              <w:gridCol w:w="981"/>
            </w:tblGrid>
            <w:tr w:rsidR="001C0BD6" w:rsidRPr="00DD50E1" w:rsidTr="00864AA0"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6</w:t>
                  </w:r>
                </w:p>
              </w:tc>
            </w:tr>
            <w:tr w:rsidR="001C0BD6" w:rsidRPr="00DD50E1" w:rsidTr="00864AA0"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EINF</w:t>
                  </w:r>
                </w:p>
              </w:tc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EPRI</w:t>
                  </w:r>
                </w:p>
              </w:tc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ESO</w:t>
                  </w:r>
                </w:p>
              </w:tc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 w:rsidRPr="00DD50E1"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BACH</w:t>
                  </w:r>
                </w:p>
              </w:tc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FP básica</w:t>
                  </w:r>
                </w:p>
              </w:tc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808080" w:themeColor="background1" w:themeShade="80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  <w:tr w:rsidR="001C0BD6" w:rsidRPr="00DD50E1" w:rsidTr="00864AA0"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  <w:t>FP CFGM</w:t>
                  </w:r>
                </w:p>
              </w:tc>
              <w:tc>
                <w:tcPr>
                  <w:tcW w:w="980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ACB9CA" w:themeColor="text2" w:themeTint="66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CB9CA" w:themeColor="text2" w:themeTint="66"/>
                    <w:left w:val="single" w:sz="4" w:space="0" w:color="ACB9CA" w:themeColor="text2" w:themeTint="66"/>
                    <w:bottom w:val="single" w:sz="4" w:space="0" w:color="ACB9CA" w:themeColor="text2" w:themeTint="66"/>
                    <w:right w:val="single" w:sz="4" w:space="0" w:color="808080" w:themeColor="background1" w:themeShade="80"/>
                  </w:tcBorders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C0BD6" w:rsidRPr="00DD50E1" w:rsidRDefault="001C0BD6" w:rsidP="00864AA0">
                  <w:pPr>
                    <w:spacing w:line="276" w:lineRule="auto"/>
                    <w:rPr>
                      <w:rFonts w:asciiTheme="majorHAnsi" w:hAnsiTheme="majorHAnsi" w:cstheme="majorHAnsi"/>
                      <w:color w:val="1F4E79" w:themeColor="accent1" w:themeShade="80"/>
                      <w:sz w:val="18"/>
                      <w:szCs w:val="18"/>
                    </w:rPr>
                  </w:pPr>
                </w:p>
              </w:tc>
            </w:tr>
          </w:tbl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5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Áreas o ámbitos donde se aplica 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Metodología. Cómo se desarrollará la actividad 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Espacios presenciales o virtuales necesarios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Recursos y apoyos necesarios para la escuela/ profesorado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Recursos necesarios para el alumnado </w:t>
            </w:r>
          </w:p>
        </w:tc>
        <w:tc>
          <w:tcPr>
            <w:tcW w:w="7644" w:type="dxa"/>
            <w:gridSpan w:val="4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vMerge w:val="restart"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Acciones, tareas, </w:t>
            </w: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y temporización </w:t>
            </w: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lastRenderedPageBreak/>
              <w:t>Tarea</w:t>
            </w: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1rP 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2ºP </w:t>
            </w: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3rP </w:t>
            </w:r>
          </w:p>
        </w:tc>
      </w:tr>
      <w:tr w:rsidR="001C0BD6" w:rsidRPr="00DD50E1" w:rsidTr="001C0BD6">
        <w:trPr>
          <w:trHeight w:val="270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34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46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50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54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54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54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58"/>
        </w:trPr>
        <w:tc>
          <w:tcPr>
            <w:tcW w:w="2704" w:type="dxa"/>
            <w:vMerge/>
            <w:shd w:val="clear" w:color="auto" w:fill="FFF2CC" w:themeFill="accent4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6368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6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</w:tbl>
    <w:p w:rsidR="001C0BD6" w:rsidRPr="00DD50E1" w:rsidRDefault="001C0BD6" w:rsidP="001C0B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Observaciones: A cumplimentar en el momento que se realice la concreción del diseño de la Actividad palanca.</w:t>
      </w:r>
    </w:p>
    <w:p w:rsidR="001C0BD6" w:rsidRDefault="001C0BD6" w:rsidP="001C0BD6">
      <w:pPr>
        <w:rPr>
          <w:rFonts w:asciiTheme="majorHAnsi" w:hAnsiTheme="majorHAnsi" w:cstheme="majorHAnsi"/>
          <w:color w:val="1F3863"/>
          <w:sz w:val="24"/>
          <w:szCs w:val="24"/>
        </w:rPr>
      </w:pPr>
    </w:p>
    <w:p w:rsidR="001C0BD6" w:rsidRDefault="001C0BD6" w:rsidP="001C0BD6">
      <w:pPr>
        <w:rPr>
          <w:rFonts w:asciiTheme="majorHAnsi" w:hAnsiTheme="majorHAnsi" w:cstheme="majorHAnsi"/>
          <w:color w:val="1F3863"/>
          <w:sz w:val="24"/>
          <w:szCs w:val="24"/>
        </w:rPr>
      </w:pP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(igual a la AP del Catálogo pero ampliable)</w:t>
            </w:r>
          </w:p>
        </w:tc>
      </w:tr>
      <w:tr w:rsidR="001C0BD6" w:rsidRPr="00723D0B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Frecuencia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Autoevaluación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(percepción de los agentes implicados)</w:t>
            </w:r>
          </w:p>
        </w:tc>
      </w:tr>
      <w:tr w:rsidR="001C0BD6" w:rsidRPr="00723D0B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Autoevaluación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(percepción de los agentes implicados)</w:t>
            </w:r>
          </w:p>
        </w:tc>
      </w:tr>
      <w:tr w:rsidR="001C0BD6" w:rsidRPr="00723D0B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de implicación de las personas </w:t>
            </w:r>
            <w:proofErr w:type="spell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aplicadoras</w:t>
            </w:r>
            <w:proofErr w:type="spellEnd"/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</w:tc>
      </w:tr>
      <w:tr w:rsidR="001C0BD6" w:rsidRPr="00723D0B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rúbrica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</w:tc>
      </w:tr>
      <w:tr w:rsidR="001C0BD6" w:rsidRPr="00723D0B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Nota. Aunque el documento solo prevé la evaluación de final de curso, es muy importante que se haga en las tres evaluaciones de curso y se reflexione para ir adaptando la aplicación de la Actividad a la realidad y no esperar a hacerlo solo entre cursos.</w:t>
      </w: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Observaciones:</w:t>
      </w: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-La frecuencia de la evaluación recoge la regularidad con la que se evalúa la actividad palanca</w:t>
      </w:r>
    </w:p>
    <w:p w:rsidR="001C0BD6" w:rsidRPr="00DD50E1" w:rsidRDefault="001C0BD6" w:rsidP="001C0BD6">
      <w:pPr>
        <w:spacing w:after="0" w:line="276" w:lineRule="auto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 xml:space="preserve">-Evaluación formativa por los diferentes agentes con opinión. A rellenar en el momento de efectuar la evaluación de final de curso de la actividad (Junta de evaluación, reunión del equipo docente, de departamento, la dirección…) Es </w:t>
      </w: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lastRenderedPageBreak/>
        <w:t>interesante recoger las diferentes miradas, y explicitar que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1.- Grado de aplicación o ejecución: es el grado de implantación o despliegue sistemático de una actividad, se valora a partir de la autoevaluación de los aplicadores.</w:t>
      </w: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2.- Calidad de ejecución: mide cómo se ha hecho la actividad, teniendo en cuenta diversos criterios (plazo de ejecución, utilización de los recursos previstos, adecuación metodológica y nivel de cumplimiento de las personas implicadas). se valora a partir de la autoevaluación de los aplicadores.</w:t>
      </w: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 xml:space="preserve">3.- Grado de impacto: mide la utilidad de la actividad para lograr el objetivo establecido, se valora a partir de una rúbrica específica. </w:t>
      </w: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(1) A partir de la evaluación individual de cada alumno, si fuese el caso, recoge la valoración global del impacto en todo el alumnado.</w:t>
      </w:r>
    </w:p>
    <w:p w:rsidR="001C0BD6" w:rsidRPr="00DD50E1" w:rsidRDefault="001C0BD6" w:rsidP="001C0BD6">
      <w:pPr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DD50E1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Las valoraciones globales se considerarán mejorables si el resultado es inferior al 75%, satisfactorias si el resultado está entre en 75% y el 95%, y muy satisfactorias si es superior al 95%.</w:t>
      </w:r>
    </w:p>
    <w:p w:rsidR="001C0BD6" w:rsidRDefault="001C0BD6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</w:tbl>
    <w:p w:rsidR="001C0BD6" w:rsidRPr="005922A0" w:rsidRDefault="001C0BD6" w:rsidP="001C0BD6">
      <w:pPr>
        <w:spacing w:after="0" w:line="276" w:lineRule="auto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5922A0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Observaciones:</w:t>
      </w:r>
    </w:p>
    <w:p w:rsidR="001C0BD6" w:rsidRPr="005922A0" w:rsidRDefault="001C0BD6" w:rsidP="001C0BD6">
      <w:pPr>
        <w:spacing w:after="0" w:line="276" w:lineRule="auto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5922A0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-Evaluación del proceso. A rellenar en el momento de efectuar la evaluación de final de curso de la actividad (Junta de evaluación, reunión del equipo docente, de departamento…) Es interesante recoger las diferentes miradas, y explicitar que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:rsidR="001C0BD6" w:rsidRPr="005922A0" w:rsidRDefault="001C0BD6" w:rsidP="001C0BD6">
      <w:pPr>
        <w:spacing w:after="0" w:line="276" w:lineRule="auto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</w:p>
    <w:p w:rsidR="001C0BD6" w:rsidRPr="005922A0" w:rsidRDefault="001C0BD6" w:rsidP="001C0BD6">
      <w:pPr>
        <w:spacing w:after="0" w:line="276" w:lineRule="auto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5922A0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  <w:bookmarkEnd w:id="0"/>
    </w:p>
    <w:p w:rsidR="00D578A1" w:rsidRPr="001C0BD6" w:rsidRDefault="00D578A1" w:rsidP="001C0BD6"/>
    <w:sectPr w:rsidR="00D578A1" w:rsidRPr="001C0BD6" w:rsidSect="00344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3B" w:rsidRDefault="00344F3B" w:rsidP="00344F3B">
      <w:pPr>
        <w:spacing w:after="0" w:line="240" w:lineRule="auto"/>
      </w:pPr>
      <w:r>
        <w:separator/>
      </w:r>
    </w:p>
  </w:endnote>
  <w:end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3B" w:rsidRDefault="00344F3B" w:rsidP="00344F3B">
      <w:pPr>
        <w:spacing w:after="0" w:line="240" w:lineRule="auto"/>
      </w:pPr>
      <w:r>
        <w:separator/>
      </w:r>
    </w:p>
  </w:footnote>
  <w:footnote w:type="continuationSeparator" w:id="0">
    <w:p w:rsidR="00344F3B" w:rsidRDefault="00344F3B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61254E0" wp14:editId="584EC7CD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C20CDE3" wp14:editId="41875C79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2445146" wp14:editId="31EEB343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C758F27" wp14:editId="65018336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10F072" wp14:editId="69E50A7F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6C" w:rsidRDefault="00B16E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173197"/>
    <w:rsid w:val="001C0BD6"/>
    <w:rsid w:val="00344F3B"/>
    <w:rsid w:val="00357793"/>
    <w:rsid w:val="003603A9"/>
    <w:rsid w:val="004B23AE"/>
    <w:rsid w:val="00505E55"/>
    <w:rsid w:val="00662E4F"/>
    <w:rsid w:val="006B6525"/>
    <w:rsid w:val="007167E4"/>
    <w:rsid w:val="00843E50"/>
    <w:rsid w:val="00856E7D"/>
    <w:rsid w:val="00886309"/>
    <w:rsid w:val="00921850"/>
    <w:rsid w:val="00B16E6C"/>
    <w:rsid w:val="00C501E6"/>
    <w:rsid w:val="00D578A1"/>
    <w:rsid w:val="00D92AB5"/>
    <w:rsid w:val="00EE0E53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47A5B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oei.es/historico/publicaciones/guia_ed_inclusiva_2015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ei.es/historico/publicaciones/guia_ed_inclusiva_2015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2022-02-01T07:45:00Z</dcterms:created>
  <dcterms:modified xsi:type="dcterms:W3CDTF">2022-09-15T11:55:00Z</dcterms:modified>
</cp:coreProperties>
</file>